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0D3302" w14:textId="34D3B559" w:rsidR="00FA731D" w:rsidRPr="00785A20" w:rsidRDefault="00A44A23" w:rsidP="00A44A23">
      <w:pPr>
        <w:spacing w:after="0"/>
        <w:jc w:val="center"/>
        <w:rPr>
          <w:b/>
          <w:bCs/>
        </w:rPr>
      </w:pPr>
      <w:r w:rsidRPr="00785A20">
        <w:rPr>
          <w:b/>
          <w:bCs/>
        </w:rPr>
        <w:t>Converting a Solid (Block) Geologic Model to a Hydraulic Conductivity Model</w:t>
      </w:r>
    </w:p>
    <w:p w14:paraId="38E0D932" w14:textId="67E5A07F" w:rsidR="00A44A23" w:rsidRDefault="00A44A23" w:rsidP="00A44A23">
      <w:pPr>
        <w:jc w:val="center"/>
      </w:pPr>
      <w:r>
        <w:t>2/11/22</w:t>
      </w:r>
    </w:p>
    <w:p w14:paraId="6F4B2710" w14:textId="2E2D6925" w:rsidR="00A44A23" w:rsidRDefault="00FB53B8" w:rsidP="00AC03EA">
      <w:pPr>
        <w:jc w:val="both"/>
      </w:pPr>
      <w:r>
        <w:t>Given a solid model representing lithology, stratigraphy, or a combination thereof (</w:t>
      </w:r>
      <w:r w:rsidR="00F22FBF">
        <w:fldChar w:fldCharType="begin"/>
      </w:r>
      <w:r w:rsidR="00F22FBF">
        <w:instrText xml:space="preserve"> REF _Ref95508512 \h </w:instrText>
      </w:r>
      <w:r w:rsidR="00AC03EA">
        <w:instrText xml:space="preserve"> \* MERGEFORMAT </w:instrText>
      </w:r>
      <w:r w:rsidR="00F22FBF">
        <w:fldChar w:fldCharType="separate"/>
      </w:r>
      <w:r w:rsidR="00DE3380">
        <w:t xml:space="preserve">Figure </w:t>
      </w:r>
      <w:r w:rsidR="00DE3380">
        <w:rPr>
          <w:noProof/>
        </w:rPr>
        <w:t>1</w:t>
      </w:r>
      <w:r w:rsidR="00F22FBF">
        <w:fldChar w:fldCharType="end"/>
      </w:r>
      <w:r>
        <w:t>) and a datasheet that lists the hydraulic conductivities represented by the G-values within this model (</w:t>
      </w:r>
      <w:r w:rsidR="00785A20">
        <w:fldChar w:fldCharType="begin"/>
      </w:r>
      <w:r w:rsidR="00785A20">
        <w:instrText xml:space="preserve"> REF _Ref95509012 \h </w:instrText>
      </w:r>
      <w:r w:rsidR="00AC03EA">
        <w:instrText xml:space="preserve"> \* MERGEFORMAT </w:instrText>
      </w:r>
      <w:r w:rsidR="00785A20">
        <w:fldChar w:fldCharType="separate"/>
      </w:r>
      <w:r w:rsidR="00DE3380">
        <w:t xml:space="preserve">Figure </w:t>
      </w:r>
      <w:r w:rsidR="00DE3380">
        <w:rPr>
          <w:noProof/>
        </w:rPr>
        <w:t>2</w:t>
      </w:r>
      <w:r w:rsidR="00785A20">
        <w:fldChar w:fldCharType="end"/>
      </w:r>
      <w:r>
        <w:t xml:space="preserve">), the </w:t>
      </w:r>
      <w:r w:rsidR="005A08E9" w:rsidRPr="00AC03EA">
        <w:rPr>
          <w:b/>
          <w:bCs/>
          <w:i/>
          <w:iCs/>
        </w:rPr>
        <w:t>ModOps / Filters / Replacement Table</w:t>
      </w:r>
      <w:r w:rsidR="005A08E9">
        <w:t xml:space="preserve"> program (</w:t>
      </w:r>
      <w:r w:rsidR="005A08E9">
        <w:fldChar w:fldCharType="begin"/>
      </w:r>
      <w:r w:rsidR="005A08E9">
        <w:instrText xml:space="preserve"> REF _Ref95510593 \h </w:instrText>
      </w:r>
      <w:r w:rsidR="00AC03EA">
        <w:instrText xml:space="preserve"> \* MERGEFORMAT </w:instrText>
      </w:r>
      <w:r w:rsidR="005A08E9">
        <w:fldChar w:fldCharType="separate"/>
      </w:r>
      <w:r w:rsidR="00DE3380">
        <w:t xml:space="preserve">Figure </w:t>
      </w:r>
      <w:r w:rsidR="00DE3380">
        <w:rPr>
          <w:noProof/>
        </w:rPr>
        <w:t>3</w:t>
      </w:r>
      <w:r w:rsidR="005A08E9">
        <w:fldChar w:fldCharType="end"/>
      </w:r>
      <w:r w:rsidR="005A08E9">
        <w:t>) can be used to convert the G-values to hydraulic conductivities (</w:t>
      </w:r>
      <w:r w:rsidR="005A08E9">
        <w:fldChar w:fldCharType="begin"/>
      </w:r>
      <w:r w:rsidR="005A08E9">
        <w:instrText xml:space="preserve"> REF _Ref95510605 \h </w:instrText>
      </w:r>
      <w:r w:rsidR="00AC03EA">
        <w:instrText xml:space="preserve"> \* MERGEFORMAT </w:instrText>
      </w:r>
      <w:r w:rsidR="005A08E9">
        <w:fldChar w:fldCharType="separate"/>
      </w:r>
      <w:r w:rsidR="00DE3380">
        <w:t xml:space="preserve">Figure </w:t>
      </w:r>
      <w:r w:rsidR="00DE3380">
        <w:rPr>
          <w:noProof/>
        </w:rPr>
        <w:t>4</w:t>
      </w:r>
      <w:r w:rsidR="005A08E9">
        <w:fldChar w:fldCharType="end"/>
      </w:r>
      <w:r w:rsidR="005A08E9">
        <w:t>).</w:t>
      </w:r>
    </w:p>
    <w:p w14:paraId="7F0C6C04" w14:textId="77777777" w:rsidR="00F22FBF" w:rsidRDefault="00F22FBF" w:rsidP="00F22FBF">
      <w:pPr>
        <w:keepNext/>
        <w:spacing w:after="0"/>
        <w:jc w:val="center"/>
      </w:pPr>
      <w:r w:rsidRPr="00F22FBF">
        <w:rPr>
          <w:noProof/>
        </w:rPr>
        <w:drawing>
          <wp:inline distT="0" distB="0" distL="0" distR="0" wp14:anchorId="72D7DBB2" wp14:editId="5118F322">
            <wp:extent cx="6856900" cy="3970116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33" cy="3987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1E2AE5" w14:textId="33D09EF4" w:rsidR="00785A20" w:rsidRDefault="00F22FBF" w:rsidP="00785A20">
      <w:pPr>
        <w:pStyle w:val="Caption"/>
        <w:jc w:val="center"/>
      </w:pPr>
      <w:bookmarkStart w:id="0" w:name="_Ref95508512"/>
      <w:r>
        <w:t xml:space="preserve">Figure </w:t>
      </w:r>
      <w:fldSimple w:instr=" SEQ Figure \* ARABIC ">
        <w:r w:rsidR="00DE3380">
          <w:rPr>
            <w:noProof/>
          </w:rPr>
          <w:t>1</w:t>
        </w:r>
      </w:fldSimple>
      <w:bookmarkEnd w:id="0"/>
    </w:p>
    <w:p w14:paraId="4ACEBC2D" w14:textId="77777777" w:rsidR="00785A20" w:rsidRDefault="00785A20" w:rsidP="00785A20">
      <w:pPr>
        <w:pStyle w:val="Caption"/>
        <w:keepNext/>
        <w:spacing w:after="0"/>
        <w:jc w:val="center"/>
      </w:pPr>
      <w:r w:rsidRPr="00785A20">
        <w:rPr>
          <w:noProof/>
        </w:rPr>
        <w:drawing>
          <wp:inline distT="0" distB="0" distL="0" distR="0" wp14:anchorId="1B88D24B" wp14:editId="2B9B7882">
            <wp:extent cx="5712077" cy="3611301"/>
            <wp:effectExtent l="0" t="0" r="3175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6157" cy="3651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820055" w14:textId="281433F3" w:rsidR="00785A20" w:rsidRDefault="00785A20" w:rsidP="00785A20">
      <w:pPr>
        <w:pStyle w:val="Caption"/>
        <w:jc w:val="center"/>
      </w:pPr>
      <w:bookmarkStart w:id="1" w:name="_Ref95509012"/>
      <w:r>
        <w:t xml:space="preserve">Figure </w:t>
      </w:r>
      <w:fldSimple w:instr=" SEQ Figure \* ARABIC ">
        <w:r w:rsidR="00DE3380">
          <w:rPr>
            <w:noProof/>
          </w:rPr>
          <w:t>2</w:t>
        </w:r>
      </w:fldSimple>
      <w:bookmarkEnd w:id="1"/>
    </w:p>
    <w:p w14:paraId="527A95A4" w14:textId="77777777" w:rsidR="00C9276F" w:rsidRDefault="00785A20" w:rsidP="00C9276F">
      <w:pPr>
        <w:keepNext/>
        <w:spacing w:after="0"/>
        <w:jc w:val="center"/>
      </w:pPr>
      <w:r>
        <w:br w:type="page"/>
      </w:r>
      <w:r w:rsidR="00C9276F" w:rsidRPr="00C9276F">
        <w:rPr>
          <w:noProof/>
        </w:rPr>
        <w:lastRenderedPageBreak/>
        <w:drawing>
          <wp:inline distT="0" distB="0" distL="0" distR="0" wp14:anchorId="631643BB" wp14:editId="7D37C78F">
            <wp:extent cx="5407241" cy="5671595"/>
            <wp:effectExtent l="0" t="0" r="3175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672" cy="5699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48BA09" w14:textId="155F9C7E" w:rsidR="00785A20" w:rsidRDefault="00C9276F" w:rsidP="00C9276F">
      <w:pPr>
        <w:pStyle w:val="Caption"/>
        <w:jc w:val="center"/>
      </w:pPr>
      <w:bookmarkStart w:id="2" w:name="_Ref95510593"/>
      <w:r>
        <w:t xml:space="preserve">Figure </w:t>
      </w:r>
      <w:fldSimple w:instr=" SEQ Figure \* ARABIC ">
        <w:r w:rsidR="00DE3380">
          <w:rPr>
            <w:noProof/>
          </w:rPr>
          <w:t>3</w:t>
        </w:r>
      </w:fldSimple>
      <w:bookmarkEnd w:id="2"/>
    </w:p>
    <w:p w14:paraId="136BDAE4" w14:textId="77777777" w:rsidR="00C9276F" w:rsidRDefault="00C9276F" w:rsidP="00C9276F">
      <w:pPr>
        <w:keepNext/>
        <w:spacing w:after="0"/>
        <w:jc w:val="center"/>
      </w:pPr>
      <w:r w:rsidRPr="00C9276F">
        <w:rPr>
          <w:noProof/>
        </w:rPr>
        <w:drawing>
          <wp:inline distT="0" distB="0" distL="0" distR="0" wp14:anchorId="11CE689C" wp14:editId="396EDD38">
            <wp:extent cx="6924016" cy="2997843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349" cy="3010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A11511" w14:textId="32F5BA82" w:rsidR="003D0E3D" w:rsidRDefault="00C9276F" w:rsidP="00C9276F">
      <w:pPr>
        <w:pStyle w:val="Caption"/>
        <w:jc w:val="center"/>
      </w:pPr>
      <w:bookmarkStart w:id="3" w:name="_Ref95510605"/>
      <w:r>
        <w:t xml:space="preserve">Figure </w:t>
      </w:r>
      <w:fldSimple w:instr=" SEQ Figure \* ARABIC ">
        <w:r w:rsidR="00DE3380">
          <w:rPr>
            <w:noProof/>
          </w:rPr>
          <w:t>4</w:t>
        </w:r>
      </w:fldSimple>
      <w:bookmarkEnd w:id="3"/>
    </w:p>
    <w:p w14:paraId="40A194D0" w14:textId="37596667" w:rsidR="003D0E3D" w:rsidRDefault="003D0E3D" w:rsidP="00B07DB2">
      <w:pPr>
        <w:jc w:val="both"/>
      </w:pPr>
      <w:r>
        <w:br w:type="page"/>
      </w:r>
      <w:r>
        <w:lastRenderedPageBreak/>
        <w:t>The colors within the hydraulic conductivity model (</w:t>
      </w:r>
      <w:r>
        <w:fldChar w:fldCharType="begin"/>
      </w:r>
      <w:r>
        <w:instrText xml:space="preserve"> REF _Ref95510605 \h </w:instrText>
      </w:r>
      <w:r w:rsidR="00B07DB2">
        <w:instrText xml:space="preserve"> \* MERGEFORMAT </w:instrText>
      </w:r>
      <w:r>
        <w:fldChar w:fldCharType="separate"/>
      </w:r>
      <w:r w:rsidR="00DE3380">
        <w:t xml:space="preserve">Figure </w:t>
      </w:r>
      <w:r w:rsidR="00DE3380">
        <w:rPr>
          <w:noProof/>
        </w:rPr>
        <w:t>4</w:t>
      </w:r>
      <w:r>
        <w:fldChar w:fldCharType="end"/>
      </w:r>
      <w:r>
        <w:t>) are typically based on a custom color table (</w:t>
      </w:r>
      <w:r w:rsidR="002D57B9">
        <w:fldChar w:fldCharType="begin"/>
      </w:r>
      <w:r w:rsidR="002D57B9">
        <w:instrText xml:space="preserve"> REF _Ref95510983 \h </w:instrText>
      </w:r>
      <w:r w:rsidR="00B07DB2">
        <w:instrText xml:space="preserve"> \* MERGEFORMAT </w:instrText>
      </w:r>
      <w:r w:rsidR="002D57B9">
        <w:fldChar w:fldCharType="separate"/>
      </w:r>
      <w:r w:rsidR="00DE3380">
        <w:t xml:space="preserve">Figure </w:t>
      </w:r>
      <w:r w:rsidR="00DE3380">
        <w:rPr>
          <w:noProof/>
        </w:rPr>
        <w:t>5</w:t>
      </w:r>
      <w:r w:rsidR="002D57B9">
        <w:fldChar w:fldCharType="end"/>
      </w:r>
      <w:r>
        <w:t>).</w:t>
      </w:r>
    </w:p>
    <w:p w14:paraId="24B456F1" w14:textId="77777777" w:rsidR="002D57B9" w:rsidRDefault="002D57B9" w:rsidP="002D57B9">
      <w:pPr>
        <w:keepNext/>
        <w:spacing w:after="0"/>
        <w:jc w:val="center"/>
      </w:pPr>
      <w:r w:rsidRPr="002D57B9">
        <w:rPr>
          <w:i/>
          <w:iCs/>
          <w:noProof/>
          <w:color w:val="44546A" w:themeColor="text2"/>
          <w:sz w:val="18"/>
          <w:szCs w:val="18"/>
        </w:rPr>
        <w:drawing>
          <wp:inline distT="0" distB="0" distL="0" distR="0" wp14:anchorId="61160604" wp14:editId="10146D8A">
            <wp:extent cx="3449255" cy="210181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110" cy="2113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D9CAE3" w14:textId="2F271D15" w:rsidR="002D57B9" w:rsidRDefault="002D57B9" w:rsidP="002D57B9">
      <w:pPr>
        <w:pStyle w:val="Caption"/>
        <w:jc w:val="center"/>
      </w:pPr>
      <w:bookmarkStart w:id="4" w:name="_Ref95510983"/>
      <w:r>
        <w:t xml:space="preserve">Figure </w:t>
      </w:r>
      <w:fldSimple w:instr=" SEQ Figure \* ARABIC ">
        <w:r w:rsidR="00DE3380">
          <w:rPr>
            <w:noProof/>
          </w:rPr>
          <w:t>5</w:t>
        </w:r>
      </w:fldSimple>
      <w:bookmarkEnd w:id="4"/>
    </w:p>
    <w:p w14:paraId="44AC8D88" w14:textId="48B392EC" w:rsidR="0043107B" w:rsidRDefault="0043107B" w:rsidP="00B07DB2">
      <w:pPr>
        <w:jc w:val="both"/>
      </w:pPr>
      <w:r>
        <w:t>Hydraulic conductivity models can be simplified via two steps:</w:t>
      </w:r>
    </w:p>
    <w:p w14:paraId="2C183C41" w14:textId="1267D773" w:rsidR="0043107B" w:rsidRDefault="0043107B" w:rsidP="00B07DB2">
      <w:pPr>
        <w:pStyle w:val="ListParagraph"/>
        <w:numPr>
          <w:ilvl w:val="0"/>
          <w:numId w:val="2"/>
        </w:numPr>
        <w:jc w:val="both"/>
      </w:pPr>
      <w:r>
        <w:t xml:space="preserve">The model can be converted to a Boolean true/false model made up of zeroes and 1’s such that a zero represents impermeable material while a value of 1.0 represents regions where fluids may move through the subsurface.  This conversion is performed with the </w:t>
      </w:r>
      <w:r w:rsidR="00B07DB2" w:rsidRPr="00A12636">
        <w:rPr>
          <w:b/>
          <w:bCs/>
          <w:i/>
          <w:iCs/>
        </w:rPr>
        <w:t>ModOps / Solid / Logic / Solid -&gt; Boolean Solid</w:t>
      </w:r>
      <w:r w:rsidR="00B07DB2">
        <w:t xml:space="preserve"> program (</w:t>
      </w:r>
      <w:r w:rsidR="00B07DB2">
        <w:fldChar w:fldCharType="begin"/>
      </w:r>
      <w:r w:rsidR="00B07DB2">
        <w:instrText xml:space="preserve"> REF _Ref95511934 \h </w:instrText>
      </w:r>
      <w:r w:rsidR="00B07DB2">
        <w:instrText xml:space="preserve"> \* MERGEFORMAT </w:instrText>
      </w:r>
      <w:r w:rsidR="00B07DB2">
        <w:fldChar w:fldCharType="separate"/>
      </w:r>
      <w:r w:rsidR="00DE3380">
        <w:t xml:space="preserve">Figure </w:t>
      </w:r>
      <w:r w:rsidR="00DE3380">
        <w:rPr>
          <w:noProof/>
        </w:rPr>
        <w:t>6</w:t>
      </w:r>
      <w:r w:rsidR="00B07DB2">
        <w:fldChar w:fldCharType="end"/>
      </w:r>
      <w:r w:rsidR="00B07DB2">
        <w:t>) which creates a BPI (Boolean Permeable / Impermeable) model and diagram that only shows the permeable voxels (</w:t>
      </w:r>
      <w:r w:rsidR="00FA33CE">
        <w:fldChar w:fldCharType="begin"/>
      </w:r>
      <w:r w:rsidR="00FA33CE">
        <w:instrText xml:space="preserve"> REF _Ref95512476 \h </w:instrText>
      </w:r>
      <w:r w:rsidR="00FA33CE">
        <w:fldChar w:fldCharType="separate"/>
      </w:r>
      <w:r w:rsidR="00DE3380">
        <w:t xml:space="preserve">Figure </w:t>
      </w:r>
      <w:r w:rsidR="00DE3380">
        <w:rPr>
          <w:noProof/>
        </w:rPr>
        <w:t>7</w:t>
      </w:r>
      <w:r w:rsidR="00FA33CE">
        <w:fldChar w:fldCharType="end"/>
      </w:r>
      <w:r w:rsidR="00B07DB2">
        <w:t>).</w:t>
      </w:r>
    </w:p>
    <w:p w14:paraId="5E41EB27" w14:textId="77777777" w:rsidR="00B07DB2" w:rsidRDefault="00B07DB2" w:rsidP="00B07DB2">
      <w:pPr>
        <w:keepNext/>
        <w:spacing w:after="0"/>
        <w:jc w:val="center"/>
      </w:pPr>
      <w:r w:rsidRPr="00B07DB2">
        <w:rPr>
          <w:noProof/>
        </w:rPr>
        <w:drawing>
          <wp:inline distT="0" distB="0" distL="0" distR="0" wp14:anchorId="1E28380D" wp14:editId="0A0FABF1">
            <wp:extent cx="4849792" cy="4870897"/>
            <wp:effectExtent l="0" t="0" r="8255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209" cy="4899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DD6550" w14:textId="39A66BEA" w:rsidR="00FA33CE" w:rsidRDefault="00B07DB2" w:rsidP="00B07DB2">
      <w:pPr>
        <w:pStyle w:val="Caption"/>
        <w:jc w:val="center"/>
      </w:pPr>
      <w:bookmarkStart w:id="5" w:name="_Ref95511934"/>
      <w:r>
        <w:t xml:space="preserve">Figure </w:t>
      </w:r>
      <w:fldSimple w:instr=" SEQ Figure \* ARABIC ">
        <w:r w:rsidR="00DE3380">
          <w:rPr>
            <w:noProof/>
          </w:rPr>
          <w:t>6</w:t>
        </w:r>
      </w:fldSimple>
      <w:bookmarkEnd w:id="5"/>
    </w:p>
    <w:p w14:paraId="2E11F809" w14:textId="77777777" w:rsidR="00FA33CE" w:rsidRDefault="00FA33CE" w:rsidP="00FA33CE">
      <w:pPr>
        <w:keepNext/>
        <w:spacing w:after="0"/>
        <w:jc w:val="center"/>
      </w:pPr>
      <w:r>
        <w:br w:type="page"/>
      </w:r>
      <w:r w:rsidRPr="00FA33CE">
        <w:rPr>
          <w:noProof/>
        </w:rPr>
        <w:lastRenderedPageBreak/>
        <w:drawing>
          <wp:inline distT="0" distB="0" distL="0" distR="0" wp14:anchorId="394313BE" wp14:editId="54137B92">
            <wp:extent cx="5254906" cy="2525274"/>
            <wp:effectExtent l="0" t="0" r="3175" b="8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696" cy="253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E6C63D" w14:textId="03D2C52F" w:rsidR="00FA33CE" w:rsidRDefault="00FA33CE" w:rsidP="00FA33CE">
      <w:pPr>
        <w:pStyle w:val="Caption"/>
        <w:jc w:val="center"/>
        <w:rPr>
          <w:i w:val="0"/>
          <w:iCs w:val="0"/>
        </w:rPr>
      </w:pPr>
      <w:bookmarkStart w:id="6" w:name="_Ref95512476"/>
      <w:r>
        <w:t xml:space="preserve">Figure </w:t>
      </w:r>
      <w:fldSimple w:instr=" SEQ Figure \* ARABIC ">
        <w:r w:rsidR="00DE3380">
          <w:rPr>
            <w:noProof/>
          </w:rPr>
          <w:t>7</w:t>
        </w:r>
      </w:fldSimple>
      <w:bookmarkEnd w:id="6"/>
    </w:p>
    <w:p w14:paraId="04F8E156" w14:textId="60FC3205" w:rsidR="00CA135D" w:rsidRPr="00A12636" w:rsidRDefault="00FA33CE" w:rsidP="00477640">
      <w:pPr>
        <w:pStyle w:val="Caption"/>
        <w:numPr>
          <w:ilvl w:val="0"/>
          <w:numId w:val="2"/>
        </w:numPr>
        <w:jc w:val="both"/>
        <w:rPr>
          <w:i w:val="0"/>
          <w:iCs w:val="0"/>
          <w:color w:val="auto"/>
          <w:sz w:val="22"/>
          <w:szCs w:val="22"/>
        </w:rPr>
      </w:pPr>
      <w:r w:rsidRPr="00A12636">
        <w:rPr>
          <w:i w:val="0"/>
          <w:iCs w:val="0"/>
          <w:color w:val="auto"/>
          <w:sz w:val="22"/>
          <w:szCs w:val="22"/>
        </w:rPr>
        <w:t>The BPI model (</w:t>
      </w:r>
      <w:r w:rsidRPr="00A12636">
        <w:rPr>
          <w:i w:val="0"/>
          <w:iCs w:val="0"/>
          <w:color w:val="auto"/>
          <w:sz w:val="22"/>
          <w:szCs w:val="22"/>
        </w:rPr>
        <w:fldChar w:fldCharType="begin"/>
      </w:r>
      <w:r w:rsidRPr="00A12636">
        <w:rPr>
          <w:i w:val="0"/>
          <w:iCs w:val="0"/>
          <w:color w:val="auto"/>
          <w:sz w:val="22"/>
          <w:szCs w:val="22"/>
        </w:rPr>
        <w:instrText xml:space="preserve"> REF _Ref95512476 \h </w:instrText>
      </w:r>
      <w:r w:rsidRPr="00A12636">
        <w:rPr>
          <w:i w:val="0"/>
          <w:iCs w:val="0"/>
          <w:color w:val="auto"/>
          <w:sz w:val="22"/>
          <w:szCs w:val="22"/>
        </w:rPr>
      </w:r>
      <w:r w:rsidR="00477640" w:rsidRPr="00A12636">
        <w:rPr>
          <w:i w:val="0"/>
          <w:iCs w:val="0"/>
          <w:color w:val="auto"/>
          <w:sz w:val="22"/>
          <w:szCs w:val="22"/>
        </w:rPr>
        <w:instrText xml:space="preserve"> \* MERGEFORMAT </w:instrText>
      </w:r>
      <w:r w:rsidRPr="00A12636">
        <w:rPr>
          <w:i w:val="0"/>
          <w:iCs w:val="0"/>
          <w:color w:val="auto"/>
          <w:sz w:val="22"/>
          <w:szCs w:val="22"/>
        </w:rPr>
        <w:fldChar w:fldCharType="separate"/>
      </w:r>
      <w:r w:rsidR="00DE3380" w:rsidRPr="00DE3380">
        <w:rPr>
          <w:color w:val="auto"/>
        </w:rPr>
        <w:t xml:space="preserve">Figure </w:t>
      </w:r>
      <w:r w:rsidR="00DE3380" w:rsidRPr="00DE3380">
        <w:rPr>
          <w:noProof/>
          <w:color w:val="auto"/>
        </w:rPr>
        <w:t>7</w:t>
      </w:r>
      <w:r w:rsidRPr="00A12636">
        <w:rPr>
          <w:i w:val="0"/>
          <w:iCs w:val="0"/>
          <w:color w:val="auto"/>
          <w:sz w:val="22"/>
          <w:szCs w:val="22"/>
        </w:rPr>
        <w:fldChar w:fldCharType="end"/>
      </w:r>
      <w:r w:rsidRPr="00A12636">
        <w:rPr>
          <w:i w:val="0"/>
          <w:iCs w:val="0"/>
          <w:color w:val="auto"/>
          <w:sz w:val="22"/>
          <w:szCs w:val="22"/>
        </w:rPr>
        <w:t>) may be further simplified by identifying individual contiguous zones of potential hydraulic communication and eliminating all but the largest zones.</w:t>
      </w:r>
      <w:r w:rsidR="00CA135D" w:rsidRPr="00A12636">
        <w:rPr>
          <w:i w:val="0"/>
          <w:iCs w:val="0"/>
          <w:color w:val="auto"/>
          <w:sz w:val="22"/>
          <w:szCs w:val="22"/>
        </w:rPr>
        <w:t xml:space="preserve">  This is accomplished by using the </w:t>
      </w:r>
      <w:r w:rsidR="00CA135D" w:rsidRPr="00A12636">
        <w:rPr>
          <w:b/>
          <w:bCs/>
          <w:color w:val="auto"/>
          <w:sz w:val="22"/>
          <w:szCs w:val="22"/>
        </w:rPr>
        <w:t>ModOps / Solid / Filters / Geobody Filter</w:t>
      </w:r>
      <w:r w:rsidR="00CA135D" w:rsidRPr="00A12636">
        <w:rPr>
          <w:i w:val="0"/>
          <w:iCs w:val="0"/>
          <w:color w:val="auto"/>
          <w:sz w:val="22"/>
          <w:szCs w:val="22"/>
        </w:rPr>
        <w:t xml:space="preserve"> program (</w:t>
      </w:r>
      <w:r w:rsidR="00CA135D" w:rsidRPr="00A12636">
        <w:rPr>
          <w:i w:val="0"/>
          <w:iCs w:val="0"/>
          <w:color w:val="auto"/>
          <w:sz w:val="22"/>
          <w:szCs w:val="22"/>
        </w:rPr>
        <w:fldChar w:fldCharType="begin"/>
      </w:r>
      <w:r w:rsidR="00CA135D" w:rsidRPr="00A12636">
        <w:rPr>
          <w:i w:val="0"/>
          <w:iCs w:val="0"/>
          <w:color w:val="auto"/>
          <w:sz w:val="22"/>
          <w:szCs w:val="22"/>
        </w:rPr>
        <w:instrText xml:space="preserve"> REF _Ref95513105 \h </w:instrText>
      </w:r>
      <w:r w:rsidR="00CA135D" w:rsidRPr="00A12636">
        <w:rPr>
          <w:i w:val="0"/>
          <w:iCs w:val="0"/>
          <w:color w:val="auto"/>
          <w:sz w:val="22"/>
          <w:szCs w:val="22"/>
        </w:rPr>
      </w:r>
      <w:r w:rsidR="00477640" w:rsidRPr="00A12636">
        <w:rPr>
          <w:i w:val="0"/>
          <w:iCs w:val="0"/>
          <w:color w:val="auto"/>
          <w:sz w:val="22"/>
          <w:szCs w:val="22"/>
        </w:rPr>
        <w:instrText xml:space="preserve"> \* MERGEFORMAT </w:instrText>
      </w:r>
      <w:r w:rsidR="00CA135D" w:rsidRPr="00A12636">
        <w:rPr>
          <w:i w:val="0"/>
          <w:iCs w:val="0"/>
          <w:color w:val="auto"/>
          <w:sz w:val="22"/>
          <w:szCs w:val="22"/>
        </w:rPr>
        <w:fldChar w:fldCharType="separate"/>
      </w:r>
      <w:r w:rsidR="00DE3380" w:rsidRPr="00DE3380">
        <w:rPr>
          <w:color w:val="auto"/>
        </w:rPr>
        <w:t xml:space="preserve">Figure </w:t>
      </w:r>
      <w:r w:rsidR="00DE3380" w:rsidRPr="00DE3380">
        <w:rPr>
          <w:noProof/>
          <w:color w:val="auto"/>
        </w:rPr>
        <w:t>8</w:t>
      </w:r>
      <w:r w:rsidR="00CA135D" w:rsidRPr="00A12636">
        <w:rPr>
          <w:i w:val="0"/>
          <w:iCs w:val="0"/>
          <w:color w:val="auto"/>
          <w:sz w:val="22"/>
          <w:szCs w:val="22"/>
        </w:rPr>
        <w:fldChar w:fldCharType="end"/>
      </w:r>
      <w:r w:rsidR="00CA135D" w:rsidRPr="00A12636">
        <w:rPr>
          <w:i w:val="0"/>
          <w:iCs w:val="0"/>
          <w:color w:val="auto"/>
          <w:sz w:val="22"/>
          <w:szCs w:val="22"/>
        </w:rPr>
        <w:t>).</w:t>
      </w:r>
    </w:p>
    <w:p w14:paraId="2B5F3BFA" w14:textId="77777777" w:rsidR="00CA135D" w:rsidRDefault="00CA135D" w:rsidP="00CA135D">
      <w:pPr>
        <w:pStyle w:val="Caption"/>
        <w:keepNext/>
        <w:spacing w:after="0"/>
        <w:jc w:val="center"/>
      </w:pPr>
      <w:r w:rsidRPr="00CA135D">
        <w:rPr>
          <w:i w:val="0"/>
          <w:iCs w:val="0"/>
          <w:noProof/>
          <w:sz w:val="22"/>
          <w:szCs w:val="22"/>
        </w:rPr>
        <w:drawing>
          <wp:inline distT="0" distB="0" distL="0" distR="0" wp14:anchorId="1D4197B5" wp14:editId="2BBCBDF0">
            <wp:extent cx="5397750" cy="543373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474" cy="5437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C7193D" w14:textId="6559A356" w:rsidR="008C2C9C" w:rsidRDefault="00CA135D" w:rsidP="00CA135D">
      <w:pPr>
        <w:pStyle w:val="Caption"/>
        <w:jc w:val="center"/>
      </w:pPr>
      <w:bookmarkStart w:id="7" w:name="_Ref95513105"/>
      <w:r>
        <w:t xml:space="preserve">Figure </w:t>
      </w:r>
      <w:fldSimple w:instr=" SEQ Figure \* ARABIC ">
        <w:r w:rsidR="00DE3380">
          <w:rPr>
            <w:noProof/>
          </w:rPr>
          <w:t>8</w:t>
        </w:r>
      </w:fldSimple>
      <w:bookmarkEnd w:id="7"/>
    </w:p>
    <w:p w14:paraId="75CA25B3" w14:textId="792370FE" w:rsidR="00B07DB2" w:rsidRPr="00A12636" w:rsidRDefault="008C2C9C" w:rsidP="00477640">
      <w:pPr>
        <w:pStyle w:val="Caption"/>
        <w:jc w:val="both"/>
        <w:rPr>
          <w:i w:val="0"/>
          <w:iCs w:val="0"/>
          <w:color w:val="auto"/>
          <w:sz w:val="22"/>
          <w:szCs w:val="22"/>
        </w:rPr>
      </w:pPr>
      <w:r w:rsidRPr="00A12636">
        <w:rPr>
          <w:i w:val="0"/>
          <w:iCs w:val="0"/>
          <w:color w:val="auto"/>
          <w:sz w:val="22"/>
          <w:szCs w:val="22"/>
        </w:rPr>
        <w:lastRenderedPageBreak/>
        <w:t xml:space="preserve">The voxel g-values within a geobody model represent the </w:t>
      </w:r>
      <w:r w:rsidR="00EF44A7" w:rsidRPr="00A12636">
        <w:rPr>
          <w:i w:val="0"/>
          <w:iCs w:val="0"/>
          <w:color w:val="auto"/>
          <w:sz w:val="22"/>
          <w:szCs w:val="22"/>
        </w:rPr>
        <w:t>numbered contiguous groupings (</w:t>
      </w:r>
      <w:r w:rsidR="00EF44A7" w:rsidRPr="00A12636">
        <w:rPr>
          <w:i w:val="0"/>
          <w:iCs w:val="0"/>
          <w:color w:val="auto"/>
          <w:sz w:val="22"/>
          <w:szCs w:val="22"/>
        </w:rPr>
        <w:fldChar w:fldCharType="begin"/>
      </w:r>
      <w:r w:rsidR="00EF44A7" w:rsidRPr="00A12636">
        <w:rPr>
          <w:i w:val="0"/>
          <w:iCs w:val="0"/>
          <w:color w:val="auto"/>
          <w:sz w:val="22"/>
          <w:szCs w:val="22"/>
        </w:rPr>
        <w:instrText xml:space="preserve"> REF _Ref95514173 \h </w:instrText>
      </w:r>
      <w:r w:rsidR="00EF44A7" w:rsidRPr="00A12636">
        <w:rPr>
          <w:i w:val="0"/>
          <w:iCs w:val="0"/>
          <w:color w:val="auto"/>
          <w:sz w:val="22"/>
          <w:szCs w:val="22"/>
        </w:rPr>
      </w:r>
      <w:r w:rsidR="00477640" w:rsidRPr="00A12636">
        <w:rPr>
          <w:i w:val="0"/>
          <w:iCs w:val="0"/>
          <w:color w:val="auto"/>
          <w:sz w:val="22"/>
          <w:szCs w:val="22"/>
        </w:rPr>
        <w:instrText xml:space="preserve"> \* MERGEFORMAT </w:instrText>
      </w:r>
      <w:r w:rsidR="00EF44A7" w:rsidRPr="00A12636">
        <w:rPr>
          <w:i w:val="0"/>
          <w:iCs w:val="0"/>
          <w:color w:val="auto"/>
          <w:sz w:val="22"/>
          <w:szCs w:val="22"/>
        </w:rPr>
        <w:fldChar w:fldCharType="separate"/>
      </w:r>
      <w:r w:rsidR="00DE3380" w:rsidRPr="00DE3380">
        <w:rPr>
          <w:color w:val="auto"/>
        </w:rPr>
        <w:t xml:space="preserve">Figure </w:t>
      </w:r>
      <w:r w:rsidR="00DE3380" w:rsidRPr="00DE3380">
        <w:rPr>
          <w:noProof/>
          <w:color w:val="auto"/>
        </w:rPr>
        <w:t>9</w:t>
      </w:r>
      <w:r w:rsidR="00EF44A7" w:rsidRPr="00A12636">
        <w:rPr>
          <w:i w:val="0"/>
          <w:iCs w:val="0"/>
          <w:color w:val="auto"/>
          <w:sz w:val="22"/>
          <w:szCs w:val="22"/>
        </w:rPr>
        <w:fldChar w:fldCharType="end"/>
      </w:r>
      <w:r w:rsidR="00EF44A7" w:rsidRPr="00A12636">
        <w:rPr>
          <w:i w:val="0"/>
          <w:iCs w:val="0"/>
          <w:color w:val="auto"/>
          <w:sz w:val="22"/>
          <w:szCs w:val="22"/>
        </w:rPr>
        <w:t xml:space="preserve">).  This provides a means for isolating the largest geobody into a new, simplified BPI model </w:t>
      </w:r>
      <w:r w:rsidR="00467E42" w:rsidRPr="00A12636">
        <w:rPr>
          <w:i w:val="0"/>
          <w:iCs w:val="0"/>
          <w:color w:val="auto"/>
          <w:sz w:val="22"/>
          <w:szCs w:val="22"/>
        </w:rPr>
        <w:t xml:space="preserve">based on the geobody index number </w:t>
      </w:r>
      <w:r w:rsidR="00EF44A7" w:rsidRPr="00A12636">
        <w:rPr>
          <w:i w:val="0"/>
          <w:iCs w:val="0"/>
          <w:color w:val="auto"/>
          <w:sz w:val="22"/>
          <w:szCs w:val="22"/>
        </w:rPr>
        <w:t>(</w:t>
      </w:r>
      <w:r w:rsidR="00DA2779" w:rsidRPr="00A12636">
        <w:rPr>
          <w:i w:val="0"/>
          <w:iCs w:val="0"/>
          <w:color w:val="auto"/>
          <w:sz w:val="22"/>
          <w:szCs w:val="22"/>
        </w:rPr>
        <w:fldChar w:fldCharType="begin"/>
      </w:r>
      <w:r w:rsidR="00DA2779" w:rsidRPr="00A12636">
        <w:rPr>
          <w:i w:val="0"/>
          <w:iCs w:val="0"/>
          <w:color w:val="auto"/>
          <w:sz w:val="22"/>
          <w:szCs w:val="22"/>
        </w:rPr>
        <w:instrText xml:space="preserve"> REF _Ref95515275 \h </w:instrText>
      </w:r>
      <w:r w:rsidR="00DA2779" w:rsidRPr="00A12636">
        <w:rPr>
          <w:i w:val="0"/>
          <w:iCs w:val="0"/>
          <w:color w:val="auto"/>
          <w:sz w:val="22"/>
          <w:szCs w:val="22"/>
        </w:rPr>
      </w:r>
      <w:r w:rsidR="00477640" w:rsidRPr="00A12636">
        <w:rPr>
          <w:i w:val="0"/>
          <w:iCs w:val="0"/>
          <w:color w:val="auto"/>
          <w:sz w:val="22"/>
          <w:szCs w:val="22"/>
        </w:rPr>
        <w:instrText xml:space="preserve"> \* MERGEFORMAT </w:instrText>
      </w:r>
      <w:r w:rsidR="00DA2779" w:rsidRPr="00A12636">
        <w:rPr>
          <w:i w:val="0"/>
          <w:iCs w:val="0"/>
          <w:color w:val="auto"/>
          <w:sz w:val="22"/>
          <w:szCs w:val="22"/>
        </w:rPr>
        <w:fldChar w:fldCharType="separate"/>
      </w:r>
      <w:r w:rsidR="00DE3380" w:rsidRPr="00DE3380">
        <w:rPr>
          <w:color w:val="auto"/>
        </w:rPr>
        <w:t xml:space="preserve">Figure </w:t>
      </w:r>
      <w:r w:rsidR="00DE3380" w:rsidRPr="00DE3380">
        <w:rPr>
          <w:noProof/>
          <w:color w:val="auto"/>
        </w:rPr>
        <w:t>10</w:t>
      </w:r>
      <w:r w:rsidR="00DA2779" w:rsidRPr="00A12636">
        <w:rPr>
          <w:i w:val="0"/>
          <w:iCs w:val="0"/>
          <w:color w:val="auto"/>
          <w:sz w:val="22"/>
          <w:szCs w:val="22"/>
        </w:rPr>
        <w:fldChar w:fldCharType="end"/>
      </w:r>
      <w:r w:rsidR="00EF44A7" w:rsidRPr="00A12636">
        <w:rPr>
          <w:i w:val="0"/>
          <w:iCs w:val="0"/>
          <w:color w:val="auto"/>
          <w:sz w:val="22"/>
          <w:szCs w:val="22"/>
        </w:rPr>
        <w:t>).</w:t>
      </w:r>
    </w:p>
    <w:p w14:paraId="643744D3" w14:textId="77777777" w:rsidR="00EF44A7" w:rsidRDefault="00EF44A7" w:rsidP="0077033C">
      <w:pPr>
        <w:keepNext/>
        <w:spacing w:after="0"/>
        <w:jc w:val="center"/>
      </w:pPr>
      <w:r w:rsidRPr="00EF44A7">
        <w:rPr>
          <w:noProof/>
        </w:rPr>
        <w:drawing>
          <wp:inline distT="0" distB="0" distL="0" distR="0" wp14:anchorId="126607B9" wp14:editId="00EA8C7E">
            <wp:extent cx="6858000" cy="3692324"/>
            <wp:effectExtent l="0" t="0" r="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886" cy="3696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849485" w14:textId="39566D46" w:rsidR="00EF44A7" w:rsidRDefault="00EF44A7" w:rsidP="00EF44A7">
      <w:pPr>
        <w:pStyle w:val="Caption"/>
        <w:jc w:val="center"/>
      </w:pPr>
      <w:bookmarkStart w:id="8" w:name="_Ref95514173"/>
      <w:r>
        <w:t xml:space="preserve">Figure </w:t>
      </w:r>
      <w:fldSimple w:instr=" SEQ Figure \* ARABIC ">
        <w:r w:rsidR="00DE3380">
          <w:rPr>
            <w:noProof/>
          </w:rPr>
          <w:t>9</w:t>
        </w:r>
      </w:fldSimple>
      <w:bookmarkEnd w:id="8"/>
    </w:p>
    <w:p w14:paraId="353F9A26" w14:textId="4FC9A757" w:rsidR="00A124EE" w:rsidRDefault="00A124EE" w:rsidP="00A124EE">
      <w:pPr>
        <w:keepNext/>
        <w:spacing w:after="0"/>
        <w:jc w:val="center"/>
      </w:pPr>
      <w:r w:rsidRPr="00A124EE">
        <w:rPr>
          <w:noProof/>
        </w:rPr>
        <w:drawing>
          <wp:inline distT="0" distB="0" distL="0" distR="0" wp14:anchorId="627A8F02" wp14:editId="7252D182">
            <wp:extent cx="6857641" cy="4375231"/>
            <wp:effectExtent l="0" t="0" r="635" b="63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9999" cy="4383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A64246" w14:textId="2612540B" w:rsidR="00A124EE" w:rsidRDefault="00A124EE" w:rsidP="00A124EE">
      <w:pPr>
        <w:pStyle w:val="Caption"/>
        <w:jc w:val="center"/>
      </w:pPr>
      <w:bookmarkStart w:id="9" w:name="_Ref95515275"/>
      <w:r>
        <w:t xml:space="preserve">Figure </w:t>
      </w:r>
      <w:fldSimple w:instr=" SEQ Figure \* ARABIC ">
        <w:r w:rsidR="00DE3380">
          <w:rPr>
            <w:noProof/>
          </w:rPr>
          <w:t>10</w:t>
        </w:r>
      </w:fldSimple>
      <w:bookmarkEnd w:id="9"/>
    </w:p>
    <w:p w14:paraId="45B8D37C" w14:textId="0EC74D93" w:rsidR="00A124EE" w:rsidRPr="00A12636" w:rsidRDefault="00A124EE" w:rsidP="00477640">
      <w:pPr>
        <w:jc w:val="both"/>
      </w:pPr>
      <w:r w:rsidRPr="00A12636">
        <w:lastRenderedPageBreak/>
        <w:t>BPI models can be used to constrain geochemical modeling</w:t>
      </w:r>
      <w:r w:rsidR="007A4D18" w:rsidRPr="00A12636">
        <w:t xml:space="preserve"> </w:t>
      </w:r>
      <w:r w:rsidR="00DA2779" w:rsidRPr="00A12636">
        <w:t>(</w:t>
      </w:r>
      <w:r w:rsidR="007A4D18" w:rsidRPr="00A12636">
        <w:fldChar w:fldCharType="begin"/>
      </w:r>
      <w:r w:rsidR="007A4D18" w:rsidRPr="00A12636">
        <w:instrText xml:space="preserve"> REF _Ref95556605 \h </w:instrText>
      </w:r>
      <w:r w:rsidR="00477640" w:rsidRPr="00A12636">
        <w:instrText xml:space="preserve"> \* MERGEFORMAT </w:instrText>
      </w:r>
      <w:r w:rsidR="007A4D18" w:rsidRPr="00A12636">
        <w:fldChar w:fldCharType="separate"/>
      </w:r>
      <w:r w:rsidR="00DE3380">
        <w:t xml:space="preserve">Figure </w:t>
      </w:r>
      <w:r w:rsidR="00DE3380">
        <w:rPr>
          <w:noProof/>
        </w:rPr>
        <w:t>11</w:t>
      </w:r>
      <w:r w:rsidR="007A4D18" w:rsidRPr="00A12636">
        <w:fldChar w:fldCharType="end"/>
      </w:r>
      <w:r w:rsidR="00DA2779" w:rsidRPr="00A12636">
        <w:t>)</w:t>
      </w:r>
      <w:r w:rsidRPr="00A12636">
        <w:t xml:space="preserve">.  This can be especially useful when modeling groundwater contaminants based on single </w:t>
      </w:r>
      <w:r w:rsidR="007A4D18" w:rsidRPr="00A12636">
        <w:t xml:space="preserve">well </w:t>
      </w:r>
      <w:r w:rsidRPr="00A12636">
        <w:t>sample</w:t>
      </w:r>
      <w:r w:rsidR="007A4D18" w:rsidRPr="00A12636">
        <w:t>s</w:t>
      </w:r>
      <w:r w:rsidRPr="00A12636">
        <w:t xml:space="preserve"> is taken without knowing the depth</w:t>
      </w:r>
      <w:r w:rsidR="007A4D18" w:rsidRPr="00A12636">
        <w:t>(s)</w:t>
      </w:r>
      <w:r w:rsidRPr="00A12636">
        <w:t xml:space="preserve"> from which the contaminated </w:t>
      </w:r>
      <w:r w:rsidR="007A4D18" w:rsidRPr="00A12636">
        <w:t>ground</w:t>
      </w:r>
      <w:r w:rsidRPr="00A12636">
        <w:t>water entered the well.</w:t>
      </w:r>
    </w:p>
    <w:p w14:paraId="2CAEB33E" w14:textId="77777777" w:rsidR="007A4D18" w:rsidRDefault="007A4D18" w:rsidP="007A4D18">
      <w:pPr>
        <w:pStyle w:val="Caption"/>
        <w:keepNext/>
        <w:spacing w:after="0"/>
        <w:jc w:val="center"/>
      </w:pPr>
      <w:r w:rsidRPr="007A4D18">
        <w:rPr>
          <w:noProof/>
        </w:rPr>
        <w:drawing>
          <wp:inline distT="0" distB="0" distL="0" distR="0" wp14:anchorId="703B1E20" wp14:editId="50B8141F">
            <wp:extent cx="6447099" cy="2536456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064" cy="2540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710BB9" w14:textId="3C2786CB" w:rsidR="0077033C" w:rsidRDefault="007A4D18" w:rsidP="007A4D18">
      <w:pPr>
        <w:pStyle w:val="Caption"/>
        <w:jc w:val="center"/>
      </w:pPr>
      <w:bookmarkStart w:id="10" w:name="_Ref95556605"/>
      <w:r>
        <w:t xml:space="preserve">Figure </w:t>
      </w:r>
      <w:fldSimple w:instr=" SEQ Figure \* ARABIC ">
        <w:r w:rsidR="00DE3380">
          <w:rPr>
            <w:noProof/>
          </w:rPr>
          <w:t>11</w:t>
        </w:r>
      </w:fldSimple>
      <w:bookmarkEnd w:id="10"/>
    </w:p>
    <w:p w14:paraId="56EFCF8D" w14:textId="5121CF9D" w:rsidR="007A4D18" w:rsidRDefault="00477640" w:rsidP="00477640">
      <w:pPr>
        <w:jc w:val="both"/>
      </w:pPr>
      <w:r>
        <w:t>For example, an interpolated geochemical plume model constrained only by a maximum potentiometric elevation surface is misleadingly large (</w:t>
      </w:r>
      <w:r>
        <w:fldChar w:fldCharType="begin"/>
      </w:r>
      <w:r>
        <w:instrText xml:space="preserve"> REF _Ref95557354 \h </w:instrText>
      </w:r>
      <w:r>
        <w:fldChar w:fldCharType="separate"/>
      </w:r>
      <w:r w:rsidR="00DE3380">
        <w:t xml:space="preserve">Figure </w:t>
      </w:r>
      <w:r w:rsidR="00DE3380">
        <w:rPr>
          <w:noProof/>
        </w:rPr>
        <w:t>12</w:t>
      </w:r>
      <w:r>
        <w:fldChar w:fldCharType="end"/>
      </w:r>
      <w:r>
        <w:t xml:space="preserve">-A).  Conversely, a model constrained by both the maximum potentiometric elevation and a BPI model </w:t>
      </w:r>
      <w:r w:rsidR="00AB4FC4">
        <w:t>(</w:t>
      </w:r>
      <w:r w:rsidR="00AB4FC4">
        <w:fldChar w:fldCharType="begin"/>
      </w:r>
      <w:r w:rsidR="00AB4FC4">
        <w:instrText xml:space="preserve"> REF _Ref95515275 \h </w:instrText>
      </w:r>
      <w:r w:rsidR="00AB4FC4">
        <w:fldChar w:fldCharType="separate"/>
      </w:r>
      <w:r w:rsidR="00DE3380">
        <w:t xml:space="preserve">Figure </w:t>
      </w:r>
      <w:r w:rsidR="00DE3380">
        <w:rPr>
          <w:noProof/>
        </w:rPr>
        <w:t>10</w:t>
      </w:r>
      <w:r w:rsidR="00AB4FC4">
        <w:fldChar w:fldCharType="end"/>
      </w:r>
      <w:r w:rsidR="00AB4FC4">
        <w:t xml:space="preserve">) </w:t>
      </w:r>
      <w:r>
        <w:t xml:space="preserve">is more </w:t>
      </w:r>
      <w:r w:rsidR="00AB4FC4">
        <w:t>geologically reasonable</w:t>
      </w:r>
      <w:r>
        <w:t xml:space="preserve"> (</w:t>
      </w:r>
      <w:r>
        <w:fldChar w:fldCharType="begin"/>
      </w:r>
      <w:r>
        <w:instrText xml:space="preserve"> REF _Ref95557354 \h </w:instrText>
      </w:r>
      <w:r>
        <w:fldChar w:fldCharType="separate"/>
      </w:r>
      <w:r w:rsidR="00DE3380">
        <w:t xml:space="preserve">Figure </w:t>
      </w:r>
      <w:r w:rsidR="00DE3380">
        <w:rPr>
          <w:noProof/>
        </w:rPr>
        <w:t>12</w:t>
      </w:r>
      <w:r>
        <w:fldChar w:fldCharType="end"/>
      </w:r>
      <w:r>
        <w:t>).</w:t>
      </w:r>
    </w:p>
    <w:p w14:paraId="21B043AC" w14:textId="77777777" w:rsidR="007A4D18" w:rsidRDefault="007A4D18" w:rsidP="007A4D18">
      <w:pPr>
        <w:keepNext/>
        <w:spacing w:after="0"/>
        <w:jc w:val="center"/>
      </w:pPr>
      <w:r w:rsidRPr="007A4D18">
        <w:rPr>
          <w:noProof/>
        </w:rPr>
        <w:drawing>
          <wp:inline distT="0" distB="0" distL="0" distR="0" wp14:anchorId="60A1E317" wp14:editId="218D1B49">
            <wp:extent cx="6858000" cy="4780345"/>
            <wp:effectExtent l="0" t="0" r="0" b="127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678" cy="4785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E4AE6F" w14:textId="5412FFD1" w:rsidR="00EB1FED" w:rsidRDefault="007A4D18" w:rsidP="007A4D18">
      <w:pPr>
        <w:pStyle w:val="Caption"/>
        <w:jc w:val="center"/>
      </w:pPr>
      <w:bookmarkStart w:id="11" w:name="_Ref95557354"/>
      <w:r>
        <w:t xml:space="preserve">Figure </w:t>
      </w:r>
      <w:fldSimple w:instr=" SEQ Figure \* ARABIC ">
        <w:r w:rsidR="00DE3380">
          <w:rPr>
            <w:noProof/>
          </w:rPr>
          <w:t>12</w:t>
        </w:r>
      </w:fldSimple>
      <w:bookmarkEnd w:id="11"/>
    </w:p>
    <w:p w14:paraId="7E5EAC7A" w14:textId="229C8359" w:rsidR="00EB1FED" w:rsidRDefault="00EB1FED" w:rsidP="00EB1FED">
      <w:pPr>
        <w:jc w:val="both"/>
      </w:pPr>
      <w:r>
        <w:lastRenderedPageBreak/>
        <w:t>The steps described within this paper can be automated by adding them to a RockWorks Playlist (</w:t>
      </w:r>
      <w:r>
        <w:fldChar w:fldCharType="begin"/>
      </w:r>
      <w:r>
        <w:instrText xml:space="preserve"> REF _Ref95558776 \h </w:instrText>
      </w:r>
      <w:r>
        <w:fldChar w:fldCharType="separate"/>
      </w:r>
      <w:r w:rsidR="00DE3380">
        <w:t xml:space="preserve">Figure </w:t>
      </w:r>
      <w:r w:rsidR="00DE3380">
        <w:rPr>
          <w:noProof/>
        </w:rPr>
        <w:t>13</w:t>
      </w:r>
      <w:r>
        <w:fldChar w:fldCharType="end"/>
      </w:r>
      <w:r>
        <w:t>).  These Playlists can be used as templates for processing the data within other projects.  Most importantly, they can be used to quickly re-generate all of the models, diagrams, and reports if any of the source data changes.</w:t>
      </w:r>
    </w:p>
    <w:p w14:paraId="5052C5BE" w14:textId="77777777" w:rsidR="00EB1FED" w:rsidRDefault="00EB1FED" w:rsidP="00EB1FED">
      <w:pPr>
        <w:keepNext/>
        <w:spacing w:after="0"/>
        <w:jc w:val="center"/>
      </w:pPr>
      <w:r w:rsidRPr="00EB1FED">
        <w:rPr>
          <w:i/>
          <w:iCs/>
          <w:noProof/>
          <w:color w:val="44546A" w:themeColor="text2"/>
          <w:sz w:val="18"/>
          <w:szCs w:val="18"/>
        </w:rPr>
        <w:drawing>
          <wp:inline distT="0" distB="0" distL="0" distR="0" wp14:anchorId="5F4D2164" wp14:editId="39E42FD8">
            <wp:extent cx="5243331" cy="6020607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8583" cy="603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BD9001" w14:textId="7D480569" w:rsidR="00EB1FED" w:rsidRDefault="00EB1FED" w:rsidP="00EB1FED">
      <w:pPr>
        <w:pStyle w:val="Caption"/>
        <w:jc w:val="center"/>
        <w:rPr>
          <w:i w:val="0"/>
          <w:iCs w:val="0"/>
        </w:rPr>
      </w:pPr>
      <w:bookmarkStart w:id="12" w:name="_Ref95558776"/>
      <w:r>
        <w:t xml:space="preserve">Figure </w:t>
      </w:r>
      <w:fldSimple w:instr=" SEQ Figure \* ARABIC ">
        <w:r w:rsidR="00DE3380">
          <w:rPr>
            <w:noProof/>
          </w:rPr>
          <w:t>13</w:t>
        </w:r>
      </w:fldSimple>
      <w:bookmarkEnd w:id="12"/>
    </w:p>
    <w:p w14:paraId="258D2AFB" w14:textId="77777777" w:rsidR="007A4D18" w:rsidRPr="007A4D18" w:rsidRDefault="007A4D18" w:rsidP="007A4D18">
      <w:pPr>
        <w:pStyle w:val="Caption"/>
        <w:jc w:val="center"/>
      </w:pPr>
    </w:p>
    <w:sectPr w:rsidR="007A4D18" w:rsidRPr="007A4D18" w:rsidSect="003D0C67">
      <w:footerReference w:type="default" r:id="rId20"/>
      <w:pgSz w:w="12240" w:h="15840"/>
      <w:pgMar w:top="720" w:right="720" w:bottom="720" w:left="720" w:header="144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A1EA1C" w14:textId="77777777" w:rsidR="008C6103" w:rsidRDefault="008C6103" w:rsidP="003D0C67">
      <w:pPr>
        <w:spacing w:after="0" w:line="240" w:lineRule="auto"/>
      </w:pPr>
      <w:r>
        <w:separator/>
      </w:r>
    </w:p>
  </w:endnote>
  <w:endnote w:type="continuationSeparator" w:id="0">
    <w:p w14:paraId="63CC1986" w14:textId="77777777" w:rsidR="008C6103" w:rsidRDefault="008C6103" w:rsidP="003D0C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26121856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3417B3BB" w14:textId="77777777" w:rsidR="003D0C67" w:rsidRDefault="003D0C67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0C56DAB6" w14:textId="77777777" w:rsidR="003D0C67" w:rsidRDefault="003D0C6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33B44D" w14:textId="77777777" w:rsidR="008C6103" w:rsidRDefault="008C6103" w:rsidP="003D0C67">
      <w:pPr>
        <w:spacing w:after="0" w:line="240" w:lineRule="auto"/>
      </w:pPr>
      <w:r>
        <w:separator/>
      </w:r>
    </w:p>
  </w:footnote>
  <w:footnote w:type="continuationSeparator" w:id="0">
    <w:p w14:paraId="702A1AB6" w14:textId="77777777" w:rsidR="008C6103" w:rsidRDefault="008C6103" w:rsidP="003D0C6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B3453FC"/>
    <w:multiLevelType w:val="hybridMultilevel"/>
    <w:tmpl w:val="B3B0D40A"/>
    <w:lvl w:ilvl="0" w:tplc="CC9AC43E">
      <w:start w:val="1"/>
      <w:numFmt w:val="decimal"/>
      <w:lvlText w:val="%1."/>
      <w:lvlJc w:val="left"/>
      <w:pPr>
        <w:ind w:left="5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4" w:hanging="360"/>
      </w:pPr>
    </w:lvl>
    <w:lvl w:ilvl="2" w:tplc="0409001B" w:tentative="1">
      <w:start w:val="1"/>
      <w:numFmt w:val="lowerRoman"/>
      <w:lvlText w:val="%3."/>
      <w:lvlJc w:val="right"/>
      <w:pPr>
        <w:ind w:left="1944" w:hanging="180"/>
      </w:pPr>
    </w:lvl>
    <w:lvl w:ilvl="3" w:tplc="0409000F" w:tentative="1">
      <w:start w:val="1"/>
      <w:numFmt w:val="decimal"/>
      <w:lvlText w:val="%4."/>
      <w:lvlJc w:val="left"/>
      <w:pPr>
        <w:ind w:left="2664" w:hanging="360"/>
      </w:pPr>
    </w:lvl>
    <w:lvl w:ilvl="4" w:tplc="04090019" w:tentative="1">
      <w:start w:val="1"/>
      <w:numFmt w:val="lowerLetter"/>
      <w:lvlText w:val="%5."/>
      <w:lvlJc w:val="left"/>
      <w:pPr>
        <w:ind w:left="3384" w:hanging="360"/>
      </w:pPr>
    </w:lvl>
    <w:lvl w:ilvl="5" w:tplc="0409001B" w:tentative="1">
      <w:start w:val="1"/>
      <w:numFmt w:val="lowerRoman"/>
      <w:lvlText w:val="%6."/>
      <w:lvlJc w:val="right"/>
      <w:pPr>
        <w:ind w:left="4104" w:hanging="180"/>
      </w:pPr>
    </w:lvl>
    <w:lvl w:ilvl="6" w:tplc="0409000F" w:tentative="1">
      <w:start w:val="1"/>
      <w:numFmt w:val="decimal"/>
      <w:lvlText w:val="%7."/>
      <w:lvlJc w:val="left"/>
      <w:pPr>
        <w:ind w:left="4824" w:hanging="360"/>
      </w:pPr>
    </w:lvl>
    <w:lvl w:ilvl="7" w:tplc="04090019" w:tentative="1">
      <w:start w:val="1"/>
      <w:numFmt w:val="lowerLetter"/>
      <w:lvlText w:val="%8."/>
      <w:lvlJc w:val="left"/>
      <w:pPr>
        <w:ind w:left="5544" w:hanging="360"/>
      </w:pPr>
    </w:lvl>
    <w:lvl w:ilvl="8" w:tplc="0409001B" w:tentative="1">
      <w:start w:val="1"/>
      <w:numFmt w:val="lowerRoman"/>
      <w:lvlText w:val="%9."/>
      <w:lvlJc w:val="right"/>
      <w:pPr>
        <w:ind w:left="6264" w:hanging="180"/>
      </w:pPr>
    </w:lvl>
  </w:abstractNum>
  <w:abstractNum w:abstractNumId="1" w15:restartNumberingAfterBreak="0">
    <w:nsid w:val="5A872523"/>
    <w:multiLevelType w:val="hybridMultilevel"/>
    <w:tmpl w:val="AF0E564A"/>
    <w:lvl w:ilvl="0" w:tplc="0409000F">
      <w:start w:val="1"/>
      <w:numFmt w:val="decimal"/>
      <w:lvlText w:val="%1."/>
      <w:lvlJc w:val="left"/>
      <w:pPr>
        <w:ind w:left="864" w:hanging="360"/>
      </w:pPr>
    </w:lvl>
    <w:lvl w:ilvl="1" w:tplc="04090019" w:tentative="1">
      <w:start w:val="1"/>
      <w:numFmt w:val="lowerLetter"/>
      <w:lvlText w:val="%2."/>
      <w:lvlJc w:val="left"/>
      <w:pPr>
        <w:ind w:left="1584" w:hanging="360"/>
      </w:pPr>
    </w:lvl>
    <w:lvl w:ilvl="2" w:tplc="0409001B" w:tentative="1">
      <w:start w:val="1"/>
      <w:numFmt w:val="lowerRoman"/>
      <w:lvlText w:val="%3."/>
      <w:lvlJc w:val="right"/>
      <w:pPr>
        <w:ind w:left="2304" w:hanging="180"/>
      </w:pPr>
    </w:lvl>
    <w:lvl w:ilvl="3" w:tplc="0409000F" w:tentative="1">
      <w:start w:val="1"/>
      <w:numFmt w:val="decimal"/>
      <w:lvlText w:val="%4."/>
      <w:lvlJc w:val="left"/>
      <w:pPr>
        <w:ind w:left="3024" w:hanging="360"/>
      </w:pPr>
    </w:lvl>
    <w:lvl w:ilvl="4" w:tplc="04090019" w:tentative="1">
      <w:start w:val="1"/>
      <w:numFmt w:val="lowerLetter"/>
      <w:lvlText w:val="%5."/>
      <w:lvlJc w:val="left"/>
      <w:pPr>
        <w:ind w:left="3744" w:hanging="360"/>
      </w:pPr>
    </w:lvl>
    <w:lvl w:ilvl="5" w:tplc="0409001B" w:tentative="1">
      <w:start w:val="1"/>
      <w:numFmt w:val="lowerRoman"/>
      <w:lvlText w:val="%6."/>
      <w:lvlJc w:val="right"/>
      <w:pPr>
        <w:ind w:left="4464" w:hanging="180"/>
      </w:pPr>
    </w:lvl>
    <w:lvl w:ilvl="6" w:tplc="0409000F" w:tentative="1">
      <w:start w:val="1"/>
      <w:numFmt w:val="decimal"/>
      <w:lvlText w:val="%7."/>
      <w:lvlJc w:val="left"/>
      <w:pPr>
        <w:ind w:left="5184" w:hanging="360"/>
      </w:pPr>
    </w:lvl>
    <w:lvl w:ilvl="7" w:tplc="04090019" w:tentative="1">
      <w:start w:val="1"/>
      <w:numFmt w:val="lowerLetter"/>
      <w:lvlText w:val="%8."/>
      <w:lvlJc w:val="left"/>
      <w:pPr>
        <w:ind w:left="5904" w:hanging="360"/>
      </w:pPr>
    </w:lvl>
    <w:lvl w:ilvl="8" w:tplc="0409001B" w:tentative="1">
      <w:start w:val="1"/>
      <w:numFmt w:val="lowerRoman"/>
      <w:lvlText w:val="%9."/>
      <w:lvlJc w:val="right"/>
      <w:pPr>
        <w:ind w:left="6624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03"/>
  <w:proofState w:spelling="clean" w:grammar="clean"/>
  <w:revisionView w:inkAnnotation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4A23"/>
    <w:rsid w:val="001619B4"/>
    <w:rsid w:val="002D57B9"/>
    <w:rsid w:val="003D0C67"/>
    <w:rsid w:val="003D0E3D"/>
    <w:rsid w:val="003D5AA0"/>
    <w:rsid w:val="0043107B"/>
    <w:rsid w:val="00467E42"/>
    <w:rsid w:val="00477640"/>
    <w:rsid w:val="005A08E9"/>
    <w:rsid w:val="0077033C"/>
    <w:rsid w:val="00785A20"/>
    <w:rsid w:val="007A4D18"/>
    <w:rsid w:val="008B6F69"/>
    <w:rsid w:val="008C2C9C"/>
    <w:rsid w:val="008C6103"/>
    <w:rsid w:val="00905B4E"/>
    <w:rsid w:val="009C5123"/>
    <w:rsid w:val="00A124EE"/>
    <w:rsid w:val="00A12636"/>
    <w:rsid w:val="00A44A23"/>
    <w:rsid w:val="00AB4FC4"/>
    <w:rsid w:val="00AC03EA"/>
    <w:rsid w:val="00B07DB2"/>
    <w:rsid w:val="00BF4AEC"/>
    <w:rsid w:val="00C66D7F"/>
    <w:rsid w:val="00C9276F"/>
    <w:rsid w:val="00CA135D"/>
    <w:rsid w:val="00DA2779"/>
    <w:rsid w:val="00DE3380"/>
    <w:rsid w:val="00EB1FED"/>
    <w:rsid w:val="00EF44A7"/>
    <w:rsid w:val="00F22FBF"/>
    <w:rsid w:val="00FA33CE"/>
    <w:rsid w:val="00FA731D"/>
    <w:rsid w:val="00FB53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B8EDF0"/>
  <w15:chartTrackingRefBased/>
  <w15:docId w15:val="{1EA23467-20C3-49BC-A04A-29CCC37BC2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D0C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D0C67"/>
  </w:style>
  <w:style w:type="paragraph" w:styleId="Footer">
    <w:name w:val="footer"/>
    <w:basedOn w:val="Normal"/>
    <w:link w:val="FooterChar"/>
    <w:uiPriority w:val="99"/>
    <w:unhideWhenUsed/>
    <w:rsid w:val="003D0C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D0C67"/>
  </w:style>
  <w:style w:type="paragraph" w:styleId="Caption">
    <w:name w:val="caption"/>
    <w:basedOn w:val="Normal"/>
    <w:next w:val="Normal"/>
    <w:uiPriority w:val="35"/>
    <w:unhideWhenUsed/>
    <w:qFormat/>
    <w:rsid w:val="00F22FBF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ListParagraph">
    <w:name w:val="List Paragraph"/>
    <w:basedOn w:val="Normal"/>
    <w:uiPriority w:val="34"/>
    <w:qFormat/>
    <w:rsid w:val="0043107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952</TotalTime>
  <Pages>1</Pages>
  <Words>530</Words>
  <Characters>3023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Jim Reed</dc:creator>
  <cp:keywords/>
  <dc:description/>
  <cp:lastModifiedBy>Jim Reed</cp:lastModifiedBy>
  <cp:revision>22</cp:revision>
  <cp:lastPrinted>2022-02-12T18:52:00Z</cp:lastPrinted>
  <dcterms:created xsi:type="dcterms:W3CDTF">2022-02-12T04:36:00Z</dcterms:created>
  <dcterms:modified xsi:type="dcterms:W3CDTF">2022-02-12T20:28:00Z</dcterms:modified>
</cp:coreProperties>
</file>